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9D7A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b/>
          <w:bCs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THE FRAMEWORK FOR DTU'S DIALOGUE CONCEPTS </w:t>
      </w:r>
    </w:p>
    <w:p w14:paraId="67F03EDD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b/>
          <w:bCs/>
          <w:lang w:val="en-GB" w:eastAsia="da-DK"/>
        </w:rPr>
      </w:pPr>
    </w:p>
    <w:p w14:paraId="06A8938F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In 2025, the focus is on gathering experience with DTU's dialogue concepts. </w:t>
      </w:r>
    </w:p>
    <w:p w14:paraId="0C317E50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lang w:val="en-GB" w:eastAsia="da-DK"/>
        </w:rPr>
      </w:pPr>
    </w:p>
    <w:p w14:paraId="61C780BA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DTU Well-being and Leadership dialogue concepts are similar (the method) but have different purposes and characteristics. Below is a table that illustrates where the concepts differ from each other. In the summary, there will be an opportunity for you to share your experiences with both concepts </w:t>
      </w:r>
    </w:p>
    <w:p w14:paraId="3DA24C38" w14:textId="77777777" w:rsidR="00C84823" w:rsidRPr="00C3757D" w:rsidRDefault="00C84823" w:rsidP="00C84823">
      <w:pPr>
        <w:spacing w:after="0" w:line="240" w:lineRule="auto"/>
        <w:rPr>
          <w:rFonts w:ascii="Arial" w:hAnsi="Arial" w:cs="Arial"/>
          <w:bCs/>
          <w:color w:val="000000" w:themeColor="text1"/>
          <w:sz w:val="10"/>
          <w:szCs w:val="10"/>
          <w:lang w:val="en-GB"/>
        </w:rPr>
      </w:pPr>
    </w:p>
    <w:tbl>
      <w:tblPr>
        <w:tblStyle w:val="Tabel-Gitter"/>
        <w:tblW w:w="9060" w:type="dxa"/>
        <w:tblLook w:val="04A0" w:firstRow="1" w:lastRow="0" w:firstColumn="1" w:lastColumn="0" w:noHBand="0" w:noVBand="1"/>
      </w:tblPr>
      <w:tblGrid>
        <w:gridCol w:w="1539"/>
        <w:gridCol w:w="3833"/>
        <w:gridCol w:w="3688"/>
      </w:tblGrid>
      <w:tr w:rsidR="00C84823" w:rsidRPr="00C3757D" w14:paraId="7031961C" w14:textId="77777777" w:rsidTr="00520186">
        <w:trPr>
          <w:trHeight w:val="327"/>
        </w:trPr>
        <w:tc>
          <w:tcPr>
            <w:tcW w:w="1271" w:type="dxa"/>
          </w:tcPr>
          <w:p w14:paraId="1652C25C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vAlign w:val="center"/>
          </w:tcPr>
          <w:p w14:paraId="7FF6F7DE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Well-being dialogue </w:t>
            </w:r>
          </w:p>
        </w:tc>
        <w:tc>
          <w:tcPr>
            <w:tcW w:w="3820" w:type="dxa"/>
            <w:vAlign w:val="center"/>
          </w:tcPr>
          <w:p w14:paraId="4090058C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Leadership dialogue </w:t>
            </w:r>
          </w:p>
        </w:tc>
      </w:tr>
      <w:tr w:rsidR="00C84823" w:rsidRPr="00C84823" w14:paraId="044571DE" w14:textId="77777777" w:rsidTr="00520186">
        <w:trPr>
          <w:trHeight w:val="419"/>
        </w:trPr>
        <w:tc>
          <w:tcPr>
            <w:tcW w:w="1271" w:type="dxa"/>
            <w:vAlign w:val="center"/>
          </w:tcPr>
          <w:p w14:paraId="3958B09A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  <w:t>Purpose</w:t>
            </w:r>
          </w:p>
        </w:tc>
        <w:tc>
          <w:tcPr>
            <w:tcW w:w="3969" w:type="dxa"/>
            <w:vAlign w:val="center"/>
          </w:tcPr>
          <w:p w14:paraId="1A7BC450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To train the dialogue about your well-being</w:t>
            </w:r>
          </w:p>
        </w:tc>
        <w:tc>
          <w:tcPr>
            <w:tcW w:w="3820" w:type="dxa"/>
            <w:vAlign w:val="center"/>
          </w:tcPr>
          <w:p w14:paraId="1926E5AA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Giving input to your manager</w:t>
            </w:r>
          </w:p>
        </w:tc>
      </w:tr>
      <w:tr w:rsidR="00C84823" w:rsidRPr="00C84823" w14:paraId="53FFAC3B" w14:textId="77777777" w:rsidTr="00520186">
        <w:trPr>
          <w:trHeight w:val="631"/>
        </w:trPr>
        <w:tc>
          <w:tcPr>
            <w:tcW w:w="1271" w:type="dxa"/>
            <w:vAlign w:val="center"/>
          </w:tcPr>
          <w:p w14:paraId="772E1395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Characteristics </w:t>
            </w:r>
          </w:p>
        </w:tc>
        <w:tc>
          <w:tcPr>
            <w:tcW w:w="3969" w:type="dxa"/>
            <w:vAlign w:val="center"/>
          </w:tcPr>
          <w:p w14:paraId="3DB23556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Psychological </w:t>
            </w:r>
            <w:r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workplace assessment</w:t>
            </w: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, where the method </w:t>
            </w:r>
            <w:proofErr w:type="gramStart"/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in itself strengthens</w:t>
            </w:r>
            <w:proofErr w:type="gramEnd"/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 the understanding of each other's well-being </w:t>
            </w:r>
          </w:p>
        </w:tc>
        <w:tc>
          <w:tcPr>
            <w:tcW w:w="3820" w:type="dxa"/>
            <w:vAlign w:val="center"/>
          </w:tcPr>
          <w:p w14:paraId="78B507F8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Management development (the state's code of good management) </w:t>
            </w:r>
          </w:p>
        </w:tc>
      </w:tr>
      <w:tr w:rsidR="00C84823" w:rsidRPr="00C3757D" w14:paraId="6A1BBA80" w14:textId="77777777" w:rsidTr="00520186">
        <w:trPr>
          <w:trHeight w:val="564"/>
        </w:trPr>
        <w:tc>
          <w:tcPr>
            <w:tcW w:w="1271" w:type="dxa"/>
            <w:vAlign w:val="center"/>
          </w:tcPr>
          <w:p w14:paraId="127F2615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  <w:t>Primary actors</w:t>
            </w:r>
          </w:p>
        </w:tc>
        <w:tc>
          <w:tcPr>
            <w:tcW w:w="3969" w:type="dxa"/>
            <w:vAlign w:val="center"/>
          </w:tcPr>
          <w:p w14:paraId="32E4B485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Manager and employees (as well as AMR, LSU and AMK)</w:t>
            </w:r>
          </w:p>
        </w:tc>
        <w:tc>
          <w:tcPr>
            <w:tcW w:w="3820" w:type="dxa"/>
            <w:vAlign w:val="center"/>
          </w:tcPr>
          <w:p w14:paraId="0AEE1156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Manager and employees </w:t>
            </w:r>
          </w:p>
        </w:tc>
      </w:tr>
      <w:tr w:rsidR="00C84823" w:rsidRPr="00C84823" w14:paraId="72B920DA" w14:textId="77777777" w:rsidTr="00520186">
        <w:trPr>
          <w:trHeight w:val="842"/>
        </w:trPr>
        <w:tc>
          <w:tcPr>
            <w:tcW w:w="1271" w:type="dxa"/>
            <w:vAlign w:val="center"/>
          </w:tcPr>
          <w:p w14:paraId="44CEAB6C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</w:p>
          <w:p w14:paraId="47932FCA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ind w:right="42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Responsibility  </w:t>
            </w:r>
          </w:p>
        </w:tc>
        <w:tc>
          <w:tcPr>
            <w:tcW w:w="3969" w:type="dxa"/>
            <w:vAlign w:val="center"/>
          </w:tcPr>
          <w:p w14:paraId="749D4540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The director (with the help of the EMCC) is responsible for ensuring that there is a systematic dialogue about well-being</w:t>
            </w:r>
          </w:p>
        </w:tc>
        <w:tc>
          <w:tcPr>
            <w:tcW w:w="3820" w:type="dxa"/>
            <w:vAlign w:val="center"/>
          </w:tcPr>
          <w:p w14:paraId="5076A588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>The director is responsible for ensuring that all the unit's managers invite their employees to a management dialogue</w:t>
            </w:r>
          </w:p>
        </w:tc>
      </w:tr>
      <w:tr w:rsidR="00C84823" w:rsidRPr="00C84823" w14:paraId="46BBBAD3" w14:textId="77777777" w:rsidTr="00520186">
        <w:trPr>
          <w:trHeight w:val="1123"/>
        </w:trPr>
        <w:tc>
          <w:tcPr>
            <w:tcW w:w="1271" w:type="dxa"/>
            <w:vAlign w:val="center"/>
          </w:tcPr>
          <w:p w14:paraId="432E5237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bCs/>
                <w:color w:val="808080" w:themeColor="background1" w:themeShade="80"/>
                <w:sz w:val="20"/>
                <w:szCs w:val="20"/>
                <w:lang w:val="en-GB"/>
              </w:rPr>
              <w:t xml:space="preserve">Next steps </w:t>
            </w:r>
          </w:p>
        </w:tc>
        <w:tc>
          <w:tcPr>
            <w:tcW w:w="3969" w:type="dxa"/>
            <w:vAlign w:val="center"/>
          </w:tcPr>
          <w:p w14:paraId="6314EE1B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The documentation of what has been talked about and agreements on next steps are common knowledge in the unit (e.g. at LSU and in the annual working environment discussion) </w:t>
            </w:r>
          </w:p>
        </w:tc>
        <w:tc>
          <w:tcPr>
            <w:tcW w:w="3820" w:type="dxa"/>
            <w:vAlign w:val="center"/>
          </w:tcPr>
          <w:p w14:paraId="34FF71C1" w14:textId="77777777" w:rsidR="00C84823" w:rsidRPr="00C3757D" w:rsidRDefault="00C84823" w:rsidP="005201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</w:pPr>
            <w:r w:rsidRPr="00C3757D">
              <w:rPr>
                <w:rStyle w:val="normaltextrun"/>
                <w:rFonts w:ascii="Arial" w:eastAsiaTheme="majorEastAsia" w:hAnsi="Arial" w:cs="Arial"/>
                <w:color w:val="808080" w:themeColor="background1" w:themeShade="80"/>
                <w:sz w:val="20"/>
                <w:szCs w:val="20"/>
                <w:lang w:val="en-GB"/>
              </w:rPr>
              <w:t xml:space="preserve">The individual manager is responsible for ensuring that there is a follow-up dialogue with their own manager and feedback to their own employees. </w:t>
            </w:r>
          </w:p>
        </w:tc>
      </w:tr>
    </w:tbl>
    <w:p w14:paraId="2AFB15F5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lang w:val="en-GB" w:eastAsia="da-DK"/>
        </w:rPr>
      </w:pPr>
    </w:p>
    <w:p w14:paraId="7D8621A8" w14:textId="77777777" w:rsidR="00C84823" w:rsidRPr="00C3757D" w:rsidRDefault="00C84823" w:rsidP="00C84823">
      <w:pPr>
        <w:rPr>
          <w:rFonts w:ascii="Arial" w:hAnsi="Arial" w:cs="Arial"/>
          <w:b/>
          <w:bCs/>
          <w:lang w:val="en-GB"/>
        </w:rPr>
      </w:pP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QUESTION GUIDE: GATHER EXPERIENCES WITH DTU'S DIALOGUE CONCEPTS </w:t>
      </w:r>
    </w:p>
    <w:p w14:paraId="1DC61914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b/>
          <w:bCs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Background </w:t>
      </w:r>
    </w:p>
    <w:p w14:paraId="53BCCF3C" w14:textId="77777777" w:rsidR="00C84823" w:rsidRPr="00C3757D" w:rsidRDefault="00C84823" w:rsidP="00C84823">
      <w:pPr>
        <w:pStyle w:val="Listeafsni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How have you experienced the purpose of using dialogue as a lever to work with well-being and management? </w:t>
      </w:r>
    </w:p>
    <w:p w14:paraId="0D6708C4" w14:textId="77777777" w:rsidR="00C84823" w:rsidRPr="00C3757D" w:rsidRDefault="00C84823" w:rsidP="00C84823">
      <w:pPr>
        <w:pStyle w:val="Listeafsni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Have you used the support tools, seen the film, been presented with the next step, 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discussed it in LSU, AMO etc.? </w:t>
      </w:r>
    </w:p>
    <w:p w14:paraId="44C8041F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lang w:val="en-GB" w:eastAsia="da-DK"/>
        </w:rPr>
      </w:pPr>
    </w:p>
    <w:p w14:paraId="4852E696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000000" w:themeColor="text1"/>
          <w:lang w:val="en-GB" w:eastAsia="da-DK"/>
        </w:rPr>
        <w:t xml:space="preserve"> </w:t>
      </w: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Collaboration with HR partner </w:t>
      </w:r>
    </w:p>
    <w:p w14:paraId="2F64F3B7" w14:textId="77777777" w:rsidR="00C84823" w:rsidRPr="00C3757D" w:rsidRDefault="00C84823" w:rsidP="00C84823">
      <w:pPr>
        <w:pStyle w:val="Listeafsni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How have you experienced the collaboration with HR in relation to planning and facilitation? </w:t>
      </w:r>
    </w:p>
    <w:p w14:paraId="4EE68A8C" w14:textId="77777777" w:rsidR="00C84823" w:rsidRPr="00C3757D" w:rsidRDefault="00C84823" w:rsidP="00C84823">
      <w:pPr>
        <w:pStyle w:val="Listeafsnit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Have you carried out well-being dialogues on your own - if not, will you have the courage to carry out well-being dialogues where HR does not facilitate? </w:t>
      </w:r>
    </w:p>
    <w:p w14:paraId="7D5DF93E" w14:textId="77777777" w:rsidR="00C84823" w:rsidRPr="00C3757D" w:rsidRDefault="00C84823" w:rsidP="00C84823">
      <w:pPr>
        <w:pStyle w:val="Listeafsnit"/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</w:p>
    <w:p w14:paraId="192FBE4E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Did you talk about the essentials in the smaller group </w:t>
      </w:r>
      <w:r w:rsidRPr="00C3757D">
        <w:rPr>
          <w:rFonts w:ascii="Arial" w:eastAsia="Times New Roman" w:hAnsi="Arial" w:cs="Arial"/>
          <w:lang w:val="en-GB" w:eastAsia="da-DK"/>
        </w:rPr>
        <w:t>(without a leader)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? </w:t>
      </w:r>
    </w:p>
    <w:p w14:paraId="57A476B3" w14:textId="77777777" w:rsidR="00C84823" w:rsidRPr="00C3757D" w:rsidRDefault="00C84823" w:rsidP="00C84823">
      <w:pPr>
        <w:pStyle w:val="Listeafsni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Have you felt safe participating? </w:t>
      </w:r>
    </w:p>
    <w:p w14:paraId="5B6A8BFD" w14:textId="77777777" w:rsidR="00C84823" w:rsidRPr="00C3757D" w:rsidRDefault="00C84823" w:rsidP="00C84823">
      <w:pPr>
        <w:pStyle w:val="Listeafsnit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 xml:space="preserve">If not, </w:t>
      </w:r>
      <w:r>
        <w:rPr>
          <w:rFonts w:ascii="Arial" w:eastAsia="Times New Roman" w:hAnsi="Arial" w:cs="Arial"/>
          <w:lang w:val="en-GB" w:eastAsia="da-DK"/>
        </w:rPr>
        <w:t xml:space="preserve">have </w:t>
      </w:r>
      <w:r w:rsidRPr="00C3757D">
        <w:rPr>
          <w:rFonts w:ascii="Arial" w:eastAsia="Times New Roman" w:hAnsi="Arial" w:cs="Arial"/>
          <w:lang w:val="en-GB" w:eastAsia="da-DK"/>
        </w:rPr>
        <w:t>you talked to your TR or AMR if you were uneasy. If so, why, if not, why not?)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>​</w:t>
      </w:r>
    </w:p>
    <w:p w14:paraId="21895662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</w:p>
    <w:p w14:paraId="2CC3AF8A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000000" w:themeColor="text1"/>
          <w:lang w:val="en-GB" w:eastAsia="da-DK"/>
        </w:rPr>
        <w:t xml:space="preserve">Did </w:t>
      </w: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you talk about the essentials in the larger group </w:t>
      </w:r>
      <w:r w:rsidRPr="00C3757D">
        <w:rPr>
          <w:rFonts w:ascii="Arial" w:eastAsia="Times New Roman" w:hAnsi="Arial" w:cs="Arial"/>
          <w:lang w:val="en-GB" w:eastAsia="da-DK"/>
        </w:rPr>
        <w:t>(with the leader)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>?</w:t>
      </w:r>
    </w:p>
    <w:p w14:paraId="6A3214FA" w14:textId="77777777" w:rsidR="00C84823" w:rsidRPr="00C3757D" w:rsidRDefault="00C84823" w:rsidP="00C84823">
      <w:pPr>
        <w:pStyle w:val="Listeafsni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How did you experience the transition from having the dialogue in the smaller group to having to express your opinion/feedback in plenary? </w:t>
      </w:r>
    </w:p>
    <w:p w14:paraId="1E5B9E7A" w14:textId="77777777" w:rsidR="00C84823" w:rsidRPr="00C3757D" w:rsidRDefault="00C84823" w:rsidP="00C84823">
      <w:pPr>
        <w:pStyle w:val="Listeafsni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>What c</w:t>
      </w:r>
      <w:r>
        <w:rPr>
          <w:rFonts w:ascii="Arial" w:eastAsia="Times New Roman" w:hAnsi="Arial" w:cs="Arial"/>
          <w:color w:val="000000" w:themeColor="text1"/>
          <w:lang w:val="en-GB" w:eastAsia="da-DK"/>
        </w:rPr>
        <w:t>ould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 be helpful in that part of the process? </w:t>
      </w:r>
    </w:p>
    <w:p w14:paraId="3BDB7820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</w:p>
    <w:p w14:paraId="6D9C3A3D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color w:val="000000" w:themeColor="text1"/>
          <w:lang w:val="en-GB" w:eastAsia="da-DK"/>
        </w:rPr>
        <w:t xml:space="preserve">Did you talk about the next step? </w:t>
      </w:r>
    </w:p>
    <w:p w14:paraId="1D733577" w14:textId="77777777" w:rsidR="00C84823" w:rsidRPr="00C3757D" w:rsidRDefault="00C84823" w:rsidP="00C84823">
      <w:pPr>
        <w:pStyle w:val="Listeafsni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>What c</w:t>
      </w:r>
      <w:r>
        <w:rPr>
          <w:rFonts w:ascii="Arial" w:eastAsia="Times New Roman" w:hAnsi="Arial" w:cs="Arial"/>
          <w:color w:val="000000" w:themeColor="text1"/>
          <w:lang w:val="en-GB" w:eastAsia="da-DK"/>
        </w:rPr>
        <w:t>ould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 help</w:t>
      </w:r>
      <w:r>
        <w:rPr>
          <w:rFonts w:ascii="Arial" w:eastAsia="Times New Roman" w:hAnsi="Arial" w:cs="Arial"/>
          <w:color w:val="000000" w:themeColor="text1"/>
          <w:lang w:val="en-GB" w:eastAsia="da-DK"/>
        </w:rPr>
        <w:t xml:space="preserve"> to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 ensure that you maintain the dialogue about well-being and management (between the annual well-being and </w:t>
      </w:r>
      <w:r>
        <w:rPr>
          <w:rFonts w:ascii="Arial" w:eastAsia="Times New Roman" w:hAnsi="Arial" w:cs="Arial"/>
          <w:color w:val="000000" w:themeColor="text1"/>
          <w:lang w:val="en-GB" w:eastAsia="da-DK"/>
        </w:rPr>
        <w:t>leadership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 xml:space="preserve"> dialogues)? </w:t>
      </w:r>
    </w:p>
    <w:p w14:paraId="67D6E115" w14:textId="77777777" w:rsidR="00C84823" w:rsidRPr="00C3757D" w:rsidRDefault="00C84823" w:rsidP="00C84823">
      <w:pPr>
        <w:pStyle w:val="Listeafsni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>What can be changed in the concepts to ensure more dialogue about...</w:t>
      </w:r>
      <w:r w:rsidRPr="00C3757D">
        <w:rPr>
          <w:rFonts w:ascii="Arial" w:eastAsia="Times New Roman" w:hAnsi="Arial" w:cs="Arial"/>
          <w:color w:val="000000" w:themeColor="text1"/>
          <w:lang w:val="en-GB" w:eastAsia="da-DK"/>
        </w:rPr>
        <w:t>​</w:t>
      </w:r>
    </w:p>
    <w:p w14:paraId="3985CE14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</w:p>
    <w:p w14:paraId="5D3F9ADF" w14:textId="77777777" w:rsidR="00C84823" w:rsidRPr="00C3757D" w:rsidRDefault="00C84823" w:rsidP="00C84823">
      <w:pPr>
        <w:spacing w:after="0" w:line="240" w:lineRule="auto"/>
        <w:rPr>
          <w:rFonts w:ascii="Arial" w:eastAsia="Times New Roman" w:hAnsi="Arial" w:cs="Arial"/>
          <w:b/>
          <w:bCs/>
          <w:lang w:val="en-GB" w:eastAsia="da-DK"/>
        </w:rPr>
      </w:pP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What can be </w:t>
      </w:r>
      <w:r>
        <w:rPr>
          <w:rFonts w:ascii="Arial" w:eastAsia="Times New Roman" w:hAnsi="Arial" w:cs="Arial"/>
          <w:b/>
          <w:bCs/>
          <w:lang w:val="en-GB" w:eastAsia="da-DK"/>
        </w:rPr>
        <w:t>adjusted</w:t>
      </w:r>
      <w:r w:rsidRPr="00C3757D">
        <w:rPr>
          <w:rFonts w:ascii="Arial" w:eastAsia="Times New Roman" w:hAnsi="Arial" w:cs="Arial"/>
          <w:b/>
          <w:bCs/>
          <w:lang w:val="en-GB" w:eastAsia="da-DK"/>
        </w:rPr>
        <w:t xml:space="preserve"> on?</w:t>
      </w:r>
    </w:p>
    <w:p w14:paraId="6C255365" w14:textId="77777777" w:rsidR="00C84823" w:rsidRPr="00C3757D" w:rsidRDefault="00C84823" w:rsidP="00C84823">
      <w:pPr>
        <w:pStyle w:val="Listeafsni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 w:themeColor="text1"/>
          <w:lang w:val="en-GB" w:eastAsia="da-DK"/>
        </w:rPr>
      </w:pPr>
      <w:r w:rsidRPr="00C3757D">
        <w:rPr>
          <w:rFonts w:ascii="Arial" w:eastAsia="Times New Roman" w:hAnsi="Arial" w:cs="Arial"/>
          <w:lang w:val="en-GB" w:eastAsia="da-DK"/>
        </w:rPr>
        <w:t>What insights have surprised you?</w:t>
      </w:r>
    </w:p>
    <w:p w14:paraId="20DD4363" w14:textId="7BDB3D60" w:rsidR="009F79E9" w:rsidRPr="00C84823" w:rsidRDefault="00C84823" w:rsidP="00C84823">
      <w:pPr>
        <w:pStyle w:val="Listeafsnit"/>
        <w:numPr>
          <w:ilvl w:val="0"/>
          <w:numId w:val="1"/>
        </w:numPr>
        <w:rPr>
          <w:lang w:val="en-GB"/>
        </w:rPr>
      </w:pPr>
      <w:r w:rsidRPr="00C84823">
        <w:rPr>
          <w:rFonts w:ascii="Arial" w:eastAsia="Times New Roman" w:hAnsi="Arial" w:cs="Arial"/>
          <w:lang w:val="en-GB" w:eastAsia="da-DK"/>
        </w:rPr>
        <w:t>What would you like to do more of in the next dialogue?</w:t>
      </w:r>
    </w:p>
    <w:sectPr w:rsidR="009F79E9" w:rsidRPr="00C84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62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2473B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272D0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F1E2A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631B85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F40019"/>
    <w:multiLevelType w:val="multilevel"/>
    <w:tmpl w:val="DC0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6340388">
    <w:abstractNumId w:val="3"/>
  </w:num>
  <w:num w:numId="2" w16cid:durableId="1688629691">
    <w:abstractNumId w:val="0"/>
  </w:num>
  <w:num w:numId="3" w16cid:durableId="236134210">
    <w:abstractNumId w:val="2"/>
  </w:num>
  <w:num w:numId="4" w16cid:durableId="1738820370">
    <w:abstractNumId w:val="4"/>
  </w:num>
  <w:num w:numId="5" w16cid:durableId="707070810">
    <w:abstractNumId w:val="1"/>
  </w:num>
  <w:num w:numId="6" w16cid:durableId="12057520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23"/>
    <w:rsid w:val="00173D18"/>
    <w:rsid w:val="008C391A"/>
    <w:rsid w:val="009F79E9"/>
    <w:rsid w:val="00A53D9A"/>
    <w:rsid w:val="00B23EBE"/>
    <w:rsid w:val="00C8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66D9"/>
  <w15:chartTrackingRefBased/>
  <w15:docId w15:val="{798B9F1C-B643-41FB-90AD-ECB51173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23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4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4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4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4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4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4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4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4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4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4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4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4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48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48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48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48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48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48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4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4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4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4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4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48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48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48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4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48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482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8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C84823"/>
  </w:style>
  <w:style w:type="table" w:styleId="Tabel-Gitter">
    <w:name w:val="Table Grid"/>
    <w:basedOn w:val="Tabel-Normal"/>
    <w:uiPriority w:val="39"/>
    <w:rsid w:val="00C848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2453</Characters>
  <Application>Microsoft Office Word</Application>
  <DocSecurity>0</DocSecurity>
  <Lines>20</Lines>
  <Paragraphs>5</Paragraphs>
  <ScaleCrop>false</ScaleCrop>
  <Company>Technical University of Denmark - DTU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Stavnsbo</dc:creator>
  <cp:keywords/>
  <dc:description/>
  <cp:lastModifiedBy>Line Stavnsbo</cp:lastModifiedBy>
  <cp:revision>2</cp:revision>
  <dcterms:created xsi:type="dcterms:W3CDTF">2025-04-02T12:30:00Z</dcterms:created>
  <dcterms:modified xsi:type="dcterms:W3CDTF">2025-04-02T12:30:00Z</dcterms:modified>
</cp:coreProperties>
</file>