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41C" w:rsidRDefault="0011741C" w:rsidP="0011741C">
      <w:pPr>
        <w:pStyle w:val="Heading1"/>
        <w:rPr>
          <w:lang w:val="en-GB"/>
        </w:rPr>
      </w:pPr>
      <w:bookmarkStart w:id="0" w:name="_Toc528157903"/>
      <w:r>
        <w:rPr>
          <w:lang w:val="en-GB"/>
        </w:rPr>
        <w:t>S</w:t>
      </w:r>
      <w:bookmarkStart w:id="1" w:name="_GoBack"/>
      <w:bookmarkEnd w:id="1"/>
      <w:r>
        <w:rPr>
          <w:lang w:val="en-GB"/>
        </w:rPr>
        <w:t>ite visit</w:t>
      </w:r>
      <w:bookmarkEnd w:id="0"/>
    </w:p>
    <w:p w:rsidR="0011741C" w:rsidRDefault="0011741C" w:rsidP="0011741C">
      <w:pPr>
        <w:pStyle w:val="dtuStandard"/>
        <w:rPr>
          <w:rFonts w:asciiTheme="minorHAnsi" w:hAnsiTheme="minorHAnsi"/>
          <w:sz w:val="22"/>
          <w:szCs w:val="22"/>
          <w:lang w:val="en-GB"/>
        </w:rPr>
      </w:pPr>
      <w:r>
        <w:rPr>
          <w:rFonts w:asciiTheme="minorHAnsi" w:hAnsiTheme="minorHAnsi"/>
          <w:sz w:val="22"/>
          <w:szCs w:val="22"/>
          <w:lang w:val="en-GB"/>
        </w:rPr>
        <w:t xml:space="preserve">The expert panel will visit DTU for 3 days, and is expected to use the last half day to formulate the first draft of the report. In planning the site visit, the department must set aside amble time for the panel to discuss and process their findings amongst themselves. </w:t>
      </w:r>
    </w:p>
    <w:p w:rsidR="0011741C" w:rsidRDefault="0011741C" w:rsidP="0011741C">
      <w:pPr>
        <w:pStyle w:val="dtuStandard"/>
        <w:rPr>
          <w:rFonts w:asciiTheme="minorHAnsi" w:hAnsiTheme="minorHAnsi"/>
          <w:sz w:val="22"/>
          <w:szCs w:val="22"/>
          <w:lang w:val="en-GB"/>
        </w:rPr>
      </w:pPr>
    </w:p>
    <w:p w:rsidR="0011741C" w:rsidRDefault="0011741C" w:rsidP="0011741C">
      <w:pPr>
        <w:pStyle w:val="dtuStandard"/>
        <w:rPr>
          <w:rFonts w:asciiTheme="minorHAnsi" w:hAnsiTheme="minorHAnsi"/>
          <w:sz w:val="22"/>
          <w:szCs w:val="22"/>
          <w:lang w:val="en-GB"/>
        </w:rPr>
      </w:pPr>
      <w:r>
        <w:rPr>
          <w:rFonts w:asciiTheme="minorHAnsi" w:hAnsiTheme="minorHAnsi"/>
          <w:sz w:val="22"/>
          <w:szCs w:val="22"/>
          <w:lang w:val="en-GB"/>
        </w:rPr>
        <w:t>Before the visit, DTU will give the experts the opportunity to identify specific people, categories of staff etc. that they would like to meet during their visit. The panel may also decide to contact the department’s staff during the visit.</w:t>
      </w:r>
    </w:p>
    <w:p w:rsidR="0011741C" w:rsidRDefault="0011741C" w:rsidP="0011741C">
      <w:pPr>
        <w:pStyle w:val="dtuStandard"/>
        <w:rPr>
          <w:rFonts w:asciiTheme="minorHAnsi" w:hAnsiTheme="minorHAnsi"/>
          <w:sz w:val="22"/>
          <w:szCs w:val="22"/>
          <w:lang w:val="en-GB"/>
        </w:rPr>
      </w:pPr>
    </w:p>
    <w:p w:rsidR="0011741C" w:rsidRDefault="0011741C" w:rsidP="0011741C">
      <w:pPr>
        <w:pStyle w:val="dtuStandard"/>
        <w:rPr>
          <w:rFonts w:asciiTheme="minorHAnsi" w:hAnsiTheme="minorHAnsi"/>
          <w:sz w:val="22"/>
          <w:szCs w:val="22"/>
          <w:lang w:val="en-GB"/>
        </w:rPr>
      </w:pPr>
      <w:r>
        <w:rPr>
          <w:rFonts w:asciiTheme="minorHAnsi" w:hAnsiTheme="minorHAnsi"/>
          <w:sz w:val="22"/>
          <w:szCs w:val="22"/>
          <w:lang w:val="en-GB"/>
        </w:rPr>
        <w:t xml:space="preserve">The Head of Department will telephone the panel chair approximately one week before the site visit to discuss the programme for the site visit. </w:t>
      </w:r>
    </w:p>
    <w:p w:rsidR="0011741C" w:rsidRDefault="0011741C" w:rsidP="0011741C">
      <w:pPr>
        <w:pStyle w:val="dtuStandard"/>
        <w:rPr>
          <w:rFonts w:asciiTheme="minorHAnsi" w:hAnsiTheme="minorHAnsi"/>
          <w:color w:val="FF0000"/>
          <w:sz w:val="22"/>
          <w:szCs w:val="22"/>
          <w:lang w:val="en-GB"/>
        </w:rPr>
      </w:pPr>
    </w:p>
    <w:p w:rsidR="0011741C" w:rsidRDefault="0011741C" w:rsidP="0011741C">
      <w:pPr>
        <w:pStyle w:val="dtuStandard"/>
        <w:rPr>
          <w:rFonts w:asciiTheme="minorHAnsi" w:hAnsiTheme="minorHAnsi"/>
          <w:sz w:val="22"/>
          <w:szCs w:val="22"/>
          <w:lang w:val="en-GB"/>
        </w:rPr>
      </w:pPr>
      <w:r>
        <w:rPr>
          <w:rFonts w:asciiTheme="minorHAnsi" w:hAnsiTheme="minorHAnsi"/>
          <w:sz w:val="22"/>
          <w:szCs w:val="22"/>
          <w:lang w:val="en-GB"/>
        </w:rPr>
        <w:t xml:space="preserve">The Head of Department or the local coordinator should follow the panel around during the entire site visit to ensure that no questions go unanswered and that all practical needs are met. However, during the internal panel discussions, the panel should be left to themselves. </w:t>
      </w:r>
    </w:p>
    <w:p w:rsidR="0011741C" w:rsidRDefault="0011741C" w:rsidP="0011741C">
      <w:pPr>
        <w:pStyle w:val="dtuStandard"/>
        <w:rPr>
          <w:rFonts w:asciiTheme="minorHAnsi" w:hAnsiTheme="minorHAnsi"/>
          <w:sz w:val="22"/>
          <w:szCs w:val="22"/>
          <w:lang w:val="en-GB"/>
        </w:rPr>
      </w:pPr>
    </w:p>
    <w:p w:rsidR="0011741C" w:rsidRDefault="0011741C" w:rsidP="0011741C">
      <w:pPr>
        <w:pStyle w:val="dtuStandard"/>
        <w:rPr>
          <w:rFonts w:asciiTheme="minorHAnsi" w:hAnsiTheme="minorHAnsi"/>
          <w:sz w:val="22"/>
          <w:szCs w:val="22"/>
          <w:lang w:val="en-GB"/>
        </w:rPr>
      </w:pPr>
      <w:r>
        <w:rPr>
          <w:rFonts w:asciiTheme="minorHAnsi" w:hAnsiTheme="minorHAnsi"/>
          <w:sz w:val="22"/>
          <w:szCs w:val="22"/>
          <w:lang w:val="en-GB"/>
        </w:rPr>
        <w:t xml:space="preserve">During the visit, the Head of Department and the heads of the research groups will have the opportunity to make short oral presentations of max. 5-10 minutes to elaborate on the self-evaluation report. The department should strive to keep the presentations concise and to the point and not repeat the self-evaluation report. </w:t>
      </w:r>
    </w:p>
    <w:p w:rsidR="0011741C" w:rsidRDefault="0011741C" w:rsidP="0011741C">
      <w:pPr>
        <w:pStyle w:val="dtuStandard"/>
        <w:rPr>
          <w:rFonts w:asciiTheme="minorHAnsi" w:hAnsiTheme="minorHAnsi"/>
          <w:sz w:val="22"/>
          <w:szCs w:val="22"/>
          <w:lang w:val="en-GB"/>
        </w:rPr>
      </w:pPr>
    </w:p>
    <w:p w:rsidR="0011741C" w:rsidRDefault="0011741C" w:rsidP="0011741C">
      <w:pPr>
        <w:pStyle w:val="dtuStandard"/>
        <w:rPr>
          <w:rFonts w:asciiTheme="minorHAnsi" w:hAnsiTheme="minorHAnsi"/>
          <w:sz w:val="22"/>
          <w:szCs w:val="22"/>
          <w:lang w:val="en-GB"/>
        </w:rPr>
      </w:pPr>
      <w:r>
        <w:rPr>
          <w:rFonts w:asciiTheme="minorHAnsi" w:hAnsiTheme="minorHAnsi"/>
          <w:sz w:val="22"/>
          <w:szCs w:val="22"/>
          <w:lang w:val="en-GB"/>
        </w:rPr>
        <w:t xml:space="preserve">Suggested framework for expert panel visits (see Annex K): </w:t>
      </w:r>
    </w:p>
    <w:p w:rsidR="0011741C" w:rsidRDefault="0011741C" w:rsidP="0011741C">
      <w:pPr>
        <w:pStyle w:val="dtuStandard"/>
        <w:rPr>
          <w:rFonts w:asciiTheme="minorHAnsi" w:hAnsiTheme="minorHAnsi"/>
          <w:sz w:val="22"/>
          <w:szCs w:val="22"/>
          <w:lang w:val="en-GB"/>
        </w:rPr>
      </w:pPr>
    </w:p>
    <w:p w:rsidR="0011741C" w:rsidRDefault="0011741C" w:rsidP="0011741C">
      <w:pPr>
        <w:pStyle w:val="dtuStandard"/>
        <w:rPr>
          <w:rFonts w:asciiTheme="minorHAnsi" w:hAnsiTheme="minorHAnsi"/>
          <w:b/>
          <w:sz w:val="22"/>
          <w:szCs w:val="22"/>
          <w:lang w:val="en-GB"/>
        </w:rPr>
      </w:pPr>
      <w:r>
        <w:rPr>
          <w:rFonts w:asciiTheme="minorHAnsi" w:hAnsiTheme="minorHAnsi"/>
          <w:b/>
          <w:sz w:val="22"/>
          <w:szCs w:val="22"/>
          <w:lang w:val="en-GB"/>
        </w:rPr>
        <w:t>Day 0</w:t>
      </w:r>
    </w:p>
    <w:p w:rsidR="0011741C" w:rsidRDefault="0011741C" w:rsidP="0011741C">
      <w:pPr>
        <w:pStyle w:val="dtuStandard"/>
        <w:numPr>
          <w:ilvl w:val="0"/>
          <w:numId w:val="1"/>
        </w:numPr>
        <w:rPr>
          <w:rFonts w:asciiTheme="minorHAnsi" w:hAnsiTheme="minorHAnsi"/>
          <w:sz w:val="22"/>
          <w:szCs w:val="22"/>
          <w:lang w:val="en-GB"/>
        </w:rPr>
      </w:pPr>
      <w:r>
        <w:rPr>
          <w:rFonts w:asciiTheme="minorHAnsi" w:hAnsiTheme="minorHAnsi"/>
          <w:sz w:val="22"/>
          <w:szCs w:val="22"/>
          <w:lang w:val="en-GB"/>
        </w:rPr>
        <w:t>General presentation of DTU and evaluation format by the Dean of Research</w:t>
      </w:r>
    </w:p>
    <w:p w:rsidR="0011741C" w:rsidRDefault="0011741C" w:rsidP="0011741C">
      <w:pPr>
        <w:pStyle w:val="dtuStandard"/>
        <w:numPr>
          <w:ilvl w:val="0"/>
          <w:numId w:val="2"/>
        </w:numPr>
        <w:rPr>
          <w:rFonts w:asciiTheme="minorHAnsi" w:hAnsiTheme="minorHAnsi"/>
          <w:sz w:val="22"/>
          <w:szCs w:val="22"/>
          <w:lang w:val="en-GB"/>
        </w:rPr>
      </w:pPr>
      <w:r>
        <w:rPr>
          <w:rFonts w:asciiTheme="minorHAnsi" w:hAnsiTheme="minorHAnsi"/>
          <w:sz w:val="22"/>
          <w:szCs w:val="22"/>
          <w:lang w:val="en-GB"/>
        </w:rPr>
        <w:t xml:space="preserve">Dinner – panel, Dean of Research and Head of Department </w:t>
      </w:r>
    </w:p>
    <w:p w:rsidR="0011741C" w:rsidRDefault="0011741C" w:rsidP="0011741C">
      <w:pPr>
        <w:pStyle w:val="dtuStandard"/>
        <w:rPr>
          <w:rFonts w:asciiTheme="minorHAnsi" w:hAnsiTheme="minorHAnsi"/>
          <w:sz w:val="22"/>
          <w:szCs w:val="22"/>
          <w:lang w:val="en-GB"/>
        </w:rPr>
      </w:pPr>
    </w:p>
    <w:p w:rsidR="0011741C" w:rsidRDefault="0011741C" w:rsidP="0011741C">
      <w:pPr>
        <w:pStyle w:val="dtuStandard"/>
        <w:rPr>
          <w:rFonts w:asciiTheme="minorHAnsi" w:hAnsiTheme="minorHAnsi"/>
          <w:b/>
          <w:sz w:val="22"/>
          <w:szCs w:val="22"/>
          <w:lang w:val="en-GB"/>
        </w:rPr>
      </w:pPr>
      <w:r>
        <w:rPr>
          <w:rFonts w:asciiTheme="minorHAnsi" w:hAnsiTheme="minorHAnsi"/>
          <w:b/>
          <w:sz w:val="22"/>
          <w:szCs w:val="22"/>
          <w:lang w:val="en-GB"/>
        </w:rPr>
        <w:t>Day 1</w:t>
      </w:r>
    </w:p>
    <w:p w:rsidR="0011741C" w:rsidRDefault="0011741C" w:rsidP="0011741C">
      <w:pPr>
        <w:pStyle w:val="dtuStandard"/>
        <w:numPr>
          <w:ilvl w:val="0"/>
          <w:numId w:val="3"/>
        </w:numPr>
        <w:rPr>
          <w:rFonts w:asciiTheme="minorHAnsi" w:hAnsiTheme="minorHAnsi"/>
          <w:b/>
          <w:sz w:val="22"/>
          <w:szCs w:val="22"/>
          <w:lang w:val="en-GB"/>
        </w:rPr>
      </w:pPr>
      <w:r>
        <w:rPr>
          <w:rFonts w:asciiTheme="minorHAnsi" w:hAnsiTheme="minorHAnsi"/>
          <w:sz w:val="22"/>
          <w:szCs w:val="22"/>
          <w:lang w:val="en-GB"/>
        </w:rPr>
        <w:t>Discussion of task division (panel only)</w:t>
      </w:r>
    </w:p>
    <w:p w:rsidR="0011741C" w:rsidRDefault="0011741C" w:rsidP="0011741C">
      <w:pPr>
        <w:pStyle w:val="dtuStandard"/>
        <w:numPr>
          <w:ilvl w:val="0"/>
          <w:numId w:val="3"/>
        </w:numPr>
        <w:rPr>
          <w:rFonts w:asciiTheme="minorHAnsi" w:hAnsiTheme="minorHAnsi"/>
          <w:sz w:val="22"/>
          <w:szCs w:val="22"/>
          <w:lang w:val="en-GB"/>
        </w:rPr>
      </w:pPr>
      <w:r>
        <w:rPr>
          <w:rFonts w:asciiTheme="minorHAnsi" w:hAnsiTheme="minorHAnsi"/>
          <w:sz w:val="22"/>
          <w:szCs w:val="22"/>
          <w:lang w:val="en-GB"/>
        </w:rPr>
        <w:t>Visits to research groups: During the three day visit all research groups should be visited</w:t>
      </w:r>
    </w:p>
    <w:p w:rsidR="0011741C" w:rsidRDefault="0011741C" w:rsidP="0011741C">
      <w:pPr>
        <w:pStyle w:val="dtuStandard"/>
        <w:numPr>
          <w:ilvl w:val="0"/>
          <w:numId w:val="3"/>
        </w:numPr>
        <w:rPr>
          <w:rFonts w:asciiTheme="minorHAnsi" w:hAnsiTheme="minorHAnsi"/>
          <w:sz w:val="22"/>
          <w:szCs w:val="22"/>
          <w:lang w:val="en-GB"/>
        </w:rPr>
      </w:pPr>
      <w:r>
        <w:rPr>
          <w:rFonts w:asciiTheme="minorHAnsi" w:hAnsiTheme="minorHAnsi"/>
          <w:sz w:val="22"/>
          <w:szCs w:val="22"/>
          <w:lang w:val="en-GB"/>
        </w:rPr>
        <w:t xml:space="preserve">The Head of Department and the heads of the research groups, sections and centres give oral presentations of the department (attending: panel, heads of department and of research groups) </w:t>
      </w:r>
    </w:p>
    <w:p w:rsidR="0011741C" w:rsidRDefault="0011741C" w:rsidP="0011741C">
      <w:pPr>
        <w:pStyle w:val="dtuStandard"/>
        <w:numPr>
          <w:ilvl w:val="0"/>
          <w:numId w:val="3"/>
        </w:numPr>
        <w:rPr>
          <w:rFonts w:asciiTheme="minorHAnsi" w:hAnsiTheme="minorHAnsi"/>
          <w:sz w:val="22"/>
          <w:szCs w:val="22"/>
          <w:lang w:val="en-GB"/>
        </w:rPr>
      </w:pPr>
      <w:r>
        <w:rPr>
          <w:rFonts w:asciiTheme="minorHAnsi" w:hAnsiTheme="minorHAnsi"/>
          <w:sz w:val="22"/>
          <w:szCs w:val="22"/>
          <w:lang w:val="en-GB"/>
        </w:rPr>
        <w:t>Tour of facilities and presentations of the research facilities (may be divided so that each research group makes a presentation in connection with its meeting with the panel)</w:t>
      </w:r>
    </w:p>
    <w:p w:rsidR="0011741C" w:rsidRDefault="0011741C" w:rsidP="0011741C">
      <w:pPr>
        <w:pStyle w:val="dtuStandard"/>
        <w:rPr>
          <w:rFonts w:asciiTheme="minorHAnsi" w:hAnsiTheme="minorHAnsi"/>
          <w:sz w:val="22"/>
          <w:szCs w:val="22"/>
          <w:lang w:val="en-GB"/>
        </w:rPr>
      </w:pPr>
    </w:p>
    <w:p w:rsidR="0011741C" w:rsidRDefault="0011741C" w:rsidP="0011741C">
      <w:pPr>
        <w:pStyle w:val="dtuStandard"/>
        <w:rPr>
          <w:rFonts w:asciiTheme="minorHAnsi" w:hAnsiTheme="minorHAnsi"/>
          <w:b/>
          <w:sz w:val="22"/>
          <w:szCs w:val="22"/>
          <w:lang w:val="en-GB"/>
        </w:rPr>
      </w:pPr>
      <w:r>
        <w:rPr>
          <w:rFonts w:asciiTheme="minorHAnsi" w:hAnsiTheme="minorHAnsi"/>
          <w:b/>
          <w:sz w:val="22"/>
          <w:szCs w:val="22"/>
          <w:lang w:val="en-GB"/>
        </w:rPr>
        <w:t>Day 2</w:t>
      </w:r>
    </w:p>
    <w:p w:rsidR="0011741C" w:rsidRDefault="0011741C" w:rsidP="0011741C">
      <w:pPr>
        <w:pStyle w:val="dtuStandard"/>
        <w:numPr>
          <w:ilvl w:val="0"/>
          <w:numId w:val="4"/>
        </w:numPr>
        <w:rPr>
          <w:rFonts w:asciiTheme="minorHAnsi" w:hAnsiTheme="minorHAnsi"/>
          <w:sz w:val="22"/>
          <w:szCs w:val="22"/>
          <w:lang w:val="en-GB"/>
        </w:rPr>
      </w:pPr>
      <w:r>
        <w:rPr>
          <w:rFonts w:asciiTheme="minorHAnsi" w:hAnsiTheme="minorHAnsi"/>
          <w:sz w:val="22"/>
          <w:szCs w:val="22"/>
          <w:lang w:val="en-GB"/>
        </w:rPr>
        <w:t xml:space="preserve">Continuation of visits to the department’s research groups </w:t>
      </w:r>
    </w:p>
    <w:p w:rsidR="0011741C" w:rsidRDefault="0011741C" w:rsidP="0011741C">
      <w:pPr>
        <w:pStyle w:val="dtuStandard"/>
        <w:numPr>
          <w:ilvl w:val="0"/>
          <w:numId w:val="4"/>
        </w:numPr>
        <w:rPr>
          <w:rFonts w:asciiTheme="minorHAnsi" w:hAnsiTheme="minorHAnsi"/>
          <w:sz w:val="22"/>
          <w:szCs w:val="22"/>
          <w:lang w:val="en-GB"/>
        </w:rPr>
      </w:pPr>
      <w:r>
        <w:rPr>
          <w:rFonts w:asciiTheme="minorHAnsi" w:hAnsiTheme="minorHAnsi"/>
          <w:sz w:val="22"/>
          <w:szCs w:val="22"/>
          <w:lang w:val="en-GB"/>
        </w:rPr>
        <w:t>Meetings with individual staff or categories of staff that the expert panel has asked to meet</w:t>
      </w:r>
    </w:p>
    <w:p w:rsidR="0011741C" w:rsidRDefault="0011741C" w:rsidP="0011741C">
      <w:pPr>
        <w:pStyle w:val="dtuStandard"/>
        <w:numPr>
          <w:ilvl w:val="0"/>
          <w:numId w:val="4"/>
        </w:numPr>
        <w:rPr>
          <w:rFonts w:asciiTheme="minorHAnsi" w:hAnsiTheme="minorHAnsi"/>
          <w:sz w:val="22"/>
          <w:szCs w:val="22"/>
          <w:lang w:val="en-GB"/>
        </w:rPr>
      </w:pPr>
      <w:r>
        <w:rPr>
          <w:rFonts w:asciiTheme="minorHAnsi" w:hAnsiTheme="minorHAnsi"/>
          <w:sz w:val="22"/>
          <w:szCs w:val="22"/>
          <w:lang w:val="en-GB"/>
        </w:rPr>
        <w:t xml:space="preserve">Telephone conversation between panel chair and Dean of Research </w:t>
      </w:r>
    </w:p>
    <w:p w:rsidR="0011741C" w:rsidRDefault="0011741C" w:rsidP="0011741C">
      <w:pPr>
        <w:pStyle w:val="dtuStandard"/>
        <w:rPr>
          <w:rFonts w:asciiTheme="minorHAnsi" w:hAnsiTheme="minorHAnsi"/>
          <w:sz w:val="22"/>
          <w:szCs w:val="22"/>
          <w:lang w:val="en-GB"/>
        </w:rPr>
      </w:pPr>
    </w:p>
    <w:p w:rsidR="0011741C" w:rsidRDefault="0011741C" w:rsidP="0011741C">
      <w:pPr>
        <w:pStyle w:val="dtuStandard"/>
        <w:rPr>
          <w:rFonts w:asciiTheme="minorHAnsi" w:hAnsiTheme="minorHAnsi"/>
          <w:b/>
          <w:sz w:val="22"/>
          <w:szCs w:val="22"/>
          <w:lang w:val="en-GB"/>
        </w:rPr>
      </w:pPr>
      <w:r>
        <w:rPr>
          <w:rFonts w:asciiTheme="minorHAnsi" w:hAnsiTheme="minorHAnsi"/>
          <w:b/>
          <w:sz w:val="22"/>
          <w:szCs w:val="22"/>
          <w:lang w:val="en-GB"/>
        </w:rPr>
        <w:t>Day 3</w:t>
      </w:r>
    </w:p>
    <w:p w:rsidR="0011741C" w:rsidRDefault="0011741C" w:rsidP="0011741C">
      <w:pPr>
        <w:pStyle w:val="dtuStandard"/>
        <w:numPr>
          <w:ilvl w:val="0"/>
          <w:numId w:val="5"/>
        </w:numPr>
        <w:rPr>
          <w:rFonts w:asciiTheme="minorHAnsi" w:hAnsiTheme="minorHAnsi"/>
          <w:sz w:val="22"/>
          <w:szCs w:val="22"/>
          <w:lang w:val="en-GB"/>
        </w:rPr>
      </w:pPr>
      <w:r>
        <w:rPr>
          <w:rFonts w:asciiTheme="minorHAnsi" w:hAnsiTheme="minorHAnsi"/>
          <w:sz w:val="22"/>
          <w:szCs w:val="22"/>
          <w:lang w:val="en-GB"/>
        </w:rPr>
        <w:t>Continuation of visits to the department’s research groups.</w:t>
      </w:r>
    </w:p>
    <w:p w:rsidR="0011741C" w:rsidRDefault="0011741C" w:rsidP="0011741C">
      <w:pPr>
        <w:pStyle w:val="dtuStandard"/>
        <w:numPr>
          <w:ilvl w:val="0"/>
          <w:numId w:val="5"/>
        </w:numPr>
        <w:rPr>
          <w:rFonts w:asciiTheme="minorHAnsi" w:hAnsiTheme="minorHAnsi"/>
          <w:sz w:val="22"/>
          <w:szCs w:val="22"/>
          <w:lang w:val="en-GB"/>
        </w:rPr>
      </w:pPr>
      <w:r>
        <w:rPr>
          <w:rFonts w:asciiTheme="minorHAnsi" w:hAnsiTheme="minorHAnsi"/>
          <w:sz w:val="22"/>
          <w:szCs w:val="22"/>
          <w:lang w:val="en-GB"/>
        </w:rPr>
        <w:t>Meetings with individual staff or categories of staff that the expert panel has asked to meet</w:t>
      </w:r>
    </w:p>
    <w:p w:rsidR="0011741C" w:rsidRDefault="0011741C" w:rsidP="0011741C">
      <w:pPr>
        <w:pStyle w:val="dtuStandard"/>
        <w:numPr>
          <w:ilvl w:val="0"/>
          <w:numId w:val="5"/>
        </w:numPr>
        <w:rPr>
          <w:rFonts w:asciiTheme="minorHAnsi" w:hAnsiTheme="minorHAnsi"/>
          <w:sz w:val="22"/>
          <w:szCs w:val="22"/>
          <w:lang w:val="en-GB"/>
        </w:rPr>
      </w:pPr>
      <w:r>
        <w:rPr>
          <w:rFonts w:asciiTheme="minorHAnsi" w:hAnsiTheme="minorHAnsi"/>
          <w:sz w:val="22"/>
          <w:szCs w:val="22"/>
          <w:lang w:val="en-GB"/>
        </w:rPr>
        <w:lastRenderedPageBreak/>
        <w:t>The expert panel prepares the first draft of the evaluation report</w:t>
      </w:r>
    </w:p>
    <w:p w:rsidR="0011741C" w:rsidRDefault="0011741C" w:rsidP="0011741C">
      <w:pPr>
        <w:pStyle w:val="dtuStandard"/>
        <w:numPr>
          <w:ilvl w:val="0"/>
          <w:numId w:val="5"/>
        </w:numPr>
        <w:rPr>
          <w:rFonts w:asciiTheme="minorHAnsi" w:hAnsiTheme="minorHAnsi"/>
          <w:sz w:val="22"/>
          <w:szCs w:val="22"/>
          <w:lang w:val="en-GB"/>
        </w:rPr>
      </w:pPr>
      <w:r>
        <w:rPr>
          <w:rFonts w:asciiTheme="minorHAnsi" w:hAnsiTheme="minorHAnsi"/>
          <w:sz w:val="22"/>
          <w:szCs w:val="22"/>
          <w:lang w:val="en-GB"/>
        </w:rPr>
        <w:t>The expert panel concludes its visit with an oral briefing to the department and a debriefing with the Dean of Research and the Head of Department</w:t>
      </w:r>
    </w:p>
    <w:p w:rsidR="00FD4239" w:rsidRDefault="0011741C"/>
    <w:sectPr w:rsidR="00FD42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7F72"/>
    <w:multiLevelType w:val="hybridMultilevel"/>
    <w:tmpl w:val="FED0254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451C739F"/>
    <w:multiLevelType w:val="hybridMultilevel"/>
    <w:tmpl w:val="C69030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55C5207E"/>
    <w:multiLevelType w:val="hybridMultilevel"/>
    <w:tmpl w:val="6E40EC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5AE83F2A"/>
    <w:multiLevelType w:val="hybridMultilevel"/>
    <w:tmpl w:val="D786C29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69DE332E"/>
    <w:multiLevelType w:val="hybridMultilevel"/>
    <w:tmpl w:val="534CE83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1C"/>
    <w:rsid w:val="0011741C"/>
    <w:rsid w:val="00480A27"/>
    <w:rsid w:val="00EE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BA401-0A71-477B-9315-F59DE6C3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1741C"/>
    <w:pPr>
      <w:keepNext/>
      <w:spacing w:before="240" w:after="60" w:line="240" w:lineRule="auto"/>
      <w:outlineLvl w:val="0"/>
    </w:pPr>
    <w:rPr>
      <w:rFonts w:asciiTheme="majorHAnsi" w:eastAsia="Times New Roman" w:hAnsiTheme="majorHAnsi" w:cs="Times New Roman"/>
      <w:b/>
      <w:bCs/>
      <w:color w:val="C000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41C"/>
    <w:rPr>
      <w:rFonts w:asciiTheme="majorHAnsi" w:eastAsia="Times New Roman" w:hAnsiTheme="majorHAnsi" w:cs="Times New Roman"/>
      <w:b/>
      <w:bCs/>
      <w:color w:val="C00000"/>
      <w:kern w:val="32"/>
      <w:sz w:val="32"/>
      <w:szCs w:val="32"/>
    </w:rPr>
  </w:style>
  <w:style w:type="paragraph" w:customStyle="1" w:styleId="dtuStandard">
    <w:name w:val="dtuStandard"/>
    <w:rsid w:val="0011741C"/>
    <w:pPr>
      <w:spacing w:after="0" w:line="280" w:lineRule="atLeast"/>
    </w:pPr>
    <w:rPr>
      <w:rFonts w:ascii="Arial" w:eastAsia="Times New Roman" w:hAnsi="Arial" w:cs="Arial"/>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41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Danhøj</dc:creator>
  <cp:keywords/>
  <dc:description/>
  <cp:lastModifiedBy>Trine Danhøj</cp:lastModifiedBy>
  <cp:revision>1</cp:revision>
  <dcterms:created xsi:type="dcterms:W3CDTF">2018-10-25T11:07:00Z</dcterms:created>
  <dcterms:modified xsi:type="dcterms:W3CDTF">2018-10-25T11:08:00Z</dcterms:modified>
</cp:coreProperties>
</file>